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MATEMÁTICAS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92D05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MAT.01.01. Identificar y resolver situaciones problemáticas adecuadas a su nivel, partiendo del entorno inmediato, seleccionando las operaciones necesarias y utilizando razonamientos y estrategias. Apreciar la utilidad de los conocimientos matemáticos que le serán válidos en la resolución de problemas. Expresar verbalmente de forma razonada y coherente el proceso seguido en la resolución, adoptando una respuesta coherente y abierta al debate.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Analiza y comprende el enunciado de los problemas (datos, relaciones</w:t>
              <w:br/>
              <w:t>entre los datos, contexto del problema).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MAT.01.04. Interpretar y expresar el valor de los números en textos numéricos de la vida cotidiana y formular preguntas y problemas sencillos sobre cantidades pequeñas de objetos y hechos o situaciones en los que se precise contar, leer, escribir, comparar y ordenar números de hasta tres cifras, indicando el valor de posición de cada una de ellas.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2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 Utiliza los números ordinales en contextos reales.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3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Construye series numéricas, ascendentes y descendentes, de cadencias</w:t>
              <w:br/>
              <w:t>2, 10, 100 a partir de cualquier número y de cadencias 5, 25 y 50 a partir de múltiplos de 5, 25 y 50.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4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Descompone números naturales atendiendo al valor posicional de sus cifras.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.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MAT.01.05. Realizar, en situaciones cotidianas, cálculos numéricos básicos con las operaciones de suma y resta aplicando sus propiedades, utilizando procedimiento según la naturaleza del cálculo que se vaya a realizar: cálculo mental (estrategias personales), algoritmos escritos o la calculadora en distintos soportes.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>5.</w:t>
            </w:r>
            <w:r>
              <w:rPr>
                <w:rStyle w:val="Textosnc"/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  <w:t xml:space="preserve"> Realiza operaciones con números naturales: suma, resta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MAT.01.06. Medir longitud, masa, capacidad y tiempo en los contextos familiar y escolar con unidades de medida no convencionales (palmos, pasos, baldosas, etc.) y convencionales (kilogramo, metro, centímetro, litro, día y hora), escogiendo los instrumentos y las unidades más adecuados a su alcance.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6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Conoce las unidades del Sistema Métrico Decimal. Longitud, capacidad,masa.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MAT.01.08. Conocer las unidades más apropiadas para determinar la duración de intervalos de tiempo (día y hora) y utilizarlas en la lectura de calendarios, horarios y relojes analógicos y digitales (horas en punto y medias, y cuarto y menos cuarto).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7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Conoce y utiliza las unidades de medida del tiempo y sus relaciones. Segundo, minuto, hora, día, semana y año.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8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 Lee en relojes analógicos y digitales.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MAT.01.09. Conocer el valor y las equivalencias entre las monedas y billetes del sistema monetario de la Unión Europea (50 céntimos, 1€, 2€, 5€, 10€, 20€), mostrando interés por manejarlos en los contextos escolar y familiar en situaciones figuradas o reales.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9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Conoce la función, el valor y las equivalencias entre las diferentes monedas y billetes del sistema monetario de la Unión Europea utilizándolas tantopara resolver problemas en situaciones reales como figuradas.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MAT.01.11. Identificar, diferenciar y comparar en el contexto familiar y escolar, las figuras planas y las formas espaciales reproduciéndolas y enumerando algunos de sus elementos básicos, mostrando interés y curiosidad.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10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 Traza una figura plana simétrica de otra respecto de un eje.</w:t>
            </w:r>
          </w:p>
          <w:p>
            <w:pPr>
              <w:pStyle w:val="Normal"/>
              <w:spacing w:lineRule="auto" w:line="240" w:before="0" w:after="0"/>
              <w:rPr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11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Clasifica triángulos según los lados.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pacing w:val="5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pacing w:val="5"/>
                <w:sz w:val="24"/>
                <w:szCs w:val="24"/>
                <w:highlight w:val="white"/>
              </w:rPr>
            </w:pPr>
            <w:r>
              <w:rPr>
                <w:rFonts w:cs="Arial" w:ascii="Arial" w:hAnsi="Arial"/>
                <w:color w:val="000000"/>
                <w:spacing w:val="5"/>
                <w:sz w:val="24"/>
                <w:szCs w:val="24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</w:r>
          </w:p>
        </w:tc>
      </w:tr>
      <w:tr>
        <w:trPr>
          <w:trHeight w:val="255" w:hRule="atLeast"/>
        </w:trPr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MAT.01.12. Leer, entender, recoger y registrar una información cuantificable de los contextos familiar y escolar, utilizando algunos recursos sencillos de representación gráfica: tablas de datos y diagramas de barras, comunicando oralmente la información mostrando esfuerzo y constancia en la búsqueda de soluciones.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12</w:t>
            </w:r>
            <w:r>
              <w:rPr>
                <w:rFonts w:cs="Arial" w:ascii="Arial" w:hAnsi="Arial"/>
                <w:sz w:val="20"/>
                <w:szCs w:val="20"/>
                <w:highlight w:val="white"/>
              </w:rPr>
              <w:t>. Realiza e interpreta gráficos muy sencillos: diagramas de barras.</w:t>
            </w:r>
            <w:bookmarkStart w:id="0" w:name="_GoBack"/>
            <w:bookmarkEnd w:id="0"/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snc" w:customStyle="1">
    <w:name w:val="texto-snc"/>
    <w:basedOn w:val="DefaultParagraphFont"/>
    <w:qFormat/>
    <w:rsid w:val="003f0533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9521f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LibreOffice/6.3.4.2$Windows_X86_64 LibreOffice_project/60da17e045e08f1793c57c00ba83cdfce946d0aa</Application>
  <Pages>2</Pages>
  <Words>542</Words>
  <Characters>3125</Characters>
  <CharactersWithSpaces>3641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2022-03-21T13:47:00Z</dcterms:created>
  <dc:creator>usuario</dc:creator>
  <dc:description/>
  <dc:language>es-ES</dc:language>
  <cp:lastModifiedBy/>
  <dcterms:modified xsi:type="dcterms:W3CDTF">2022-04-21T10:17:35Z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